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E444" w14:textId="77777777" w:rsidR="0037227C" w:rsidRDefault="0037227C" w:rsidP="005F4B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34DFD1" w14:textId="77777777" w:rsidR="005F4B8D" w:rsidRPr="0037227C" w:rsidRDefault="005F4B8D" w:rsidP="005F4B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227C">
        <w:rPr>
          <w:rFonts w:ascii="Arial" w:hAnsi="Arial" w:cs="Arial"/>
          <w:b/>
          <w:bCs/>
          <w:sz w:val="28"/>
          <w:szCs w:val="28"/>
        </w:rPr>
        <w:t>Whistleblowing Disclosures</w:t>
      </w:r>
    </w:p>
    <w:p w14:paraId="197B29F9" w14:textId="42421832" w:rsidR="005F4B8D" w:rsidRPr="00157DD7" w:rsidRDefault="005F4B8D" w:rsidP="005F4B8D">
      <w:pPr>
        <w:jc w:val="center"/>
        <w:rPr>
          <w:rFonts w:ascii="Arial" w:hAnsi="Arial" w:cs="Arial"/>
          <w:sz w:val="24"/>
          <w:szCs w:val="24"/>
        </w:rPr>
      </w:pPr>
      <w:r w:rsidRPr="00157DD7">
        <w:rPr>
          <w:rFonts w:ascii="Arial" w:hAnsi="Arial" w:cs="Arial"/>
          <w:sz w:val="24"/>
          <w:szCs w:val="24"/>
        </w:rPr>
        <w:t>1 April 20</w:t>
      </w:r>
      <w:r w:rsidR="002903C0">
        <w:rPr>
          <w:rFonts w:ascii="Arial" w:hAnsi="Arial" w:cs="Arial"/>
          <w:sz w:val="24"/>
          <w:szCs w:val="24"/>
        </w:rPr>
        <w:t>20</w:t>
      </w:r>
      <w:r w:rsidR="009D12D3">
        <w:rPr>
          <w:rFonts w:ascii="Arial" w:hAnsi="Arial" w:cs="Arial"/>
          <w:sz w:val="24"/>
          <w:szCs w:val="24"/>
        </w:rPr>
        <w:t xml:space="preserve"> </w:t>
      </w:r>
      <w:r w:rsidRPr="00157DD7">
        <w:rPr>
          <w:rFonts w:ascii="Arial" w:hAnsi="Arial" w:cs="Arial"/>
          <w:sz w:val="24"/>
          <w:szCs w:val="24"/>
        </w:rPr>
        <w:t>to 31 March 20</w:t>
      </w:r>
      <w:r w:rsidR="009D12D3">
        <w:rPr>
          <w:rFonts w:ascii="Arial" w:hAnsi="Arial" w:cs="Arial"/>
          <w:sz w:val="24"/>
          <w:szCs w:val="24"/>
        </w:rPr>
        <w:t>2</w:t>
      </w:r>
      <w:r w:rsidR="002903C0">
        <w:rPr>
          <w:rFonts w:ascii="Arial" w:hAnsi="Arial" w:cs="Arial"/>
          <w:sz w:val="24"/>
          <w:szCs w:val="24"/>
        </w:rPr>
        <w:t>1</w:t>
      </w:r>
    </w:p>
    <w:p w14:paraId="2505EF27" w14:textId="77777777" w:rsidR="0037227C" w:rsidRPr="0037227C" w:rsidRDefault="0037227C" w:rsidP="00504147">
      <w:pPr>
        <w:rPr>
          <w:rFonts w:ascii="Arial" w:hAnsi="Arial" w:cs="Arial"/>
          <w:b/>
          <w:bCs/>
          <w:sz w:val="24"/>
          <w:szCs w:val="24"/>
        </w:rPr>
      </w:pPr>
      <w:r w:rsidRPr="0037227C">
        <w:rPr>
          <w:rFonts w:ascii="Arial" w:hAnsi="Arial" w:cs="Arial"/>
          <w:b/>
          <w:bCs/>
          <w:sz w:val="24"/>
          <w:szCs w:val="24"/>
        </w:rPr>
        <w:t>Introduction</w:t>
      </w:r>
    </w:p>
    <w:p w14:paraId="6FB47FC2" w14:textId="77777777" w:rsidR="00504147" w:rsidRPr="00FA228F" w:rsidRDefault="00504147" w:rsidP="00504147">
      <w:pPr>
        <w:rPr>
          <w:rFonts w:ascii="Arial" w:hAnsi="Arial" w:cs="Arial"/>
          <w:sz w:val="24"/>
          <w:szCs w:val="24"/>
        </w:rPr>
      </w:pPr>
      <w:r w:rsidRPr="00FA228F">
        <w:rPr>
          <w:rFonts w:ascii="Arial" w:hAnsi="Arial" w:cs="Arial"/>
          <w:sz w:val="24"/>
          <w:szCs w:val="24"/>
        </w:rPr>
        <w:t>The Children’s Commissioner is named in the Prescribed Persons Order 2014 as someone to whom whistle</w:t>
      </w:r>
      <w:r w:rsidR="00705186" w:rsidRPr="00FA228F">
        <w:rPr>
          <w:rFonts w:ascii="Arial" w:hAnsi="Arial" w:cs="Arial"/>
          <w:sz w:val="24"/>
          <w:szCs w:val="24"/>
        </w:rPr>
        <w:t>-</w:t>
      </w:r>
      <w:r w:rsidRPr="00FA228F">
        <w:rPr>
          <w:rFonts w:ascii="Arial" w:hAnsi="Arial" w:cs="Arial"/>
          <w:sz w:val="24"/>
          <w:szCs w:val="24"/>
        </w:rPr>
        <w:t>blowers can raise concerns relating to the rights, welfare and interests of children.</w:t>
      </w:r>
      <w:r w:rsidR="00FA228F" w:rsidRPr="00FA228F">
        <w:rPr>
          <w:sz w:val="24"/>
          <w:szCs w:val="24"/>
        </w:rPr>
        <w:t xml:space="preserve"> </w:t>
      </w:r>
      <w:r w:rsidR="00FA228F" w:rsidRPr="00FA228F">
        <w:rPr>
          <w:rFonts w:ascii="Arial" w:hAnsi="Arial" w:cs="Arial"/>
          <w:sz w:val="24"/>
          <w:szCs w:val="24"/>
        </w:rPr>
        <w:t>Whistle-blowing arrangements offer a framework of protection against victimisation or dismissal for workers who blow the whistle on criminal behaviour or other wrongdoing.</w:t>
      </w:r>
    </w:p>
    <w:p w14:paraId="7A963873" w14:textId="77777777" w:rsidR="00504147" w:rsidRPr="00FA228F" w:rsidRDefault="00705186" w:rsidP="00504147">
      <w:pPr>
        <w:rPr>
          <w:rFonts w:ascii="Arial" w:hAnsi="Arial" w:cs="Arial"/>
          <w:sz w:val="24"/>
          <w:szCs w:val="24"/>
        </w:rPr>
      </w:pPr>
      <w:r w:rsidRPr="00FA228F">
        <w:rPr>
          <w:rFonts w:ascii="Arial" w:hAnsi="Arial" w:cs="Arial"/>
          <w:sz w:val="24"/>
          <w:szCs w:val="24"/>
        </w:rPr>
        <w:t xml:space="preserve">The Children’s Commissioner’s role as a prescribed person is to provide those working with children with a mechanism </w:t>
      </w:r>
      <w:r w:rsidR="00504147" w:rsidRPr="00FA228F">
        <w:rPr>
          <w:rFonts w:ascii="Arial" w:hAnsi="Arial" w:cs="Arial"/>
          <w:sz w:val="24"/>
          <w:szCs w:val="24"/>
        </w:rPr>
        <w:t xml:space="preserve">to make their public interest disclosure to an independent body. The Children’s Commissioner is not a regulatory body and does not have enforcement powers, but will </w:t>
      </w:r>
      <w:r w:rsidRPr="00FA228F">
        <w:rPr>
          <w:rFonts w:ascii="Arial" w:hAnsi="Arial" w:cs="Arial"/>
          <w:sz w:val="24"/>
          <w:szCs w:val="24"/>
        </w:rPr>
        <w:t>consider concerns</w:t>
      </w:r>
      <w:r w:rsidR="00504147" w:rsidRPr="00FA228F">
        <w:rPr>
          <w:rFonts w:ascii="Arial" w:hAnsi="Arial" w:cs="Arial"/>
          <w:sz w:val="24"/>
          <w:szCs w:val="24"/>
        </w:rPr>
        <w:t xml:space="preserve">, ensure they are passed to the responsible bodies and will seek reassurance that the correct processes have been followed. </w:t>
      </w:r>
    </w:p>
    <w:p w14:paraId="70008118" w14:textId="16A88EC3" w:rsidR="00FA228F" w:rsidRPr="00FA228F" w:rsidRDefault="003D43F3" w:rsidP="00FA228F">
      <w:pPr>
        <w:rPr>
          <w:rFonts w:ascii="Arial" w:hAnsi="Arial" w:cs="Arial"/>
          <w:sz w:val="24"/>
          <w:szCs w:val="24"/>
        </w:rPr>
      </w:pPr>
      <w:r w:rsidRPr="00FA228F">
        <w:rPr>
          <w:rFonts w:ascii="Arial" w:hAnsi="Arial" w:cs="Arial"/>
          <w:sz w:val="24"/>
          <w:szCs w:val="24"/>
        </w:rPr>
        <w:t>The Office of the Children’s Commissioner</w:t>
      </w:r>
      <w:r>
        <w:rPr>
          <w:rFonts w:ascii="Arial" w:hAnsi="Arial" w:cs="Arial"/>
          <w:sz w:val="24"/>
          <w:szCs w:val="24"/>
        </w:rPr>
        <w:t xml:space="preserve">’s [OCC] </w:t>
      </w:r>
      <w:r w:rsidR="00FA228F" w:rsidRPr="00FA228F">
        <w:rPr>
          <w:rFonts w:ascii="Arial" w:hAnsi="Arial" w:cs="Arial"/>
          <w:sz w:val="24"/>
          <w:szCs w:val="24"/>
        </w:rPr>
        <w:t xml:space="preserve">whistle-blowing procedures </w:t>
      </w:r>
      <w:r>
        <w:rPr>
          <w:rFonts w:ascii="Arial" w:hAnsi="Arial" w:cs="Arial"/>
          <w:sz w:val="24"/>
          <w:szCs w:val="24"/>
        </w:rPr>
        <w:t xml:space="preserve">are </w:t>
      </w:r>
      <w:r w:rsidR="00FA228F" w:rsidRPr="00FA228F">
        <w:rPr>
          <w:rFonts w:ascii="Arial" w:hAnsi="Arial" w:cs="Arial"/>
          <w:sz w:val="24"/>
          <w:szCs w:val="24"/>
        </w:rPr>
        <w:t xml:space="preserve">consistent with the Public Interest Disclosure Act and have been </w:t>
      </w:r>
      <w:r w:rsidR="005944A5" w:rsidRPr="005944A5">
        <w:rPr>
          <w:rFonts w:ascii="Arial" w:hAnsi="Arial" w:cs="Arial"/>
          <w:sz w:val="24"/>
          <w:szCs w:val="24"/>
        </w:rPr>
        <w:t xml:space="preserve">in place </w:t>
      </w:r>
      <w:r w:rsidR="00FA228F" w:rsidRPr="00FA228F">
        <w:rPr>
          <w:rFonts w:ascii="Arial" w:hAnsi="Arial" w:cs="Arial"/>
          <w:sz w:val="24"/>
          <w:szCs w:val="24"/>
        </w:rPr>
        <w:t>throughout 20</w:t>
      </w:r>
      <w:r w:rsidR="002903C0">
        <w:rPr>
          <w:rFonts w:ascii="Arial" w:hAnsi="Arial" w:cs="Arial"/>
          <w:sz w:val="24"/>
          <w:szCs w:val="24"/>
        </w:rPr>
        <w:t>20</w:t>
      </w:r>
      <w:r w:rsidR="00FA228F" w:rsidRPr="00FA228F">
        <w:rPr>
          <w:rFonts w:ascii="Arial" w:hAnsi="Arial" w:cs="Arial"/>
          <w:sz w:val="24"/>
          <w:szCs w:val="24"/>
        </w:rPr>
        <w:t>-</w:t>
      </w:r>
      <w:r w:rsidR="009D12D3">
        <w:rPr>
          <w:rFonts w:ascii="Arial" w:hAnsi="Arial" w:cs="Arial"/>
          <w:sz w:val="24"/>
          <w:szCs w:val="24"/>
        </w:rPr>
        <w:t>2</w:t>
      </w:r>
      <w:r w:rsidR="002903C0">
        <w:rPr>
          <w:rFonts w:ascii="Arial" w:hAnsi="Arial" w:cs="Arial"/>
          <w:sz w:val="24"/>
          <w:szCs w:val="24"/>
        </w:rPr>
        <w:t>1</w:t>
      </w:r>
      <w:r w:rsidR="00FA228F" w:rsidRPr="00FA228F">
        <w:rPr>
          <w:rFonts w:ascii="Arial" w:hAnsi="Arial" w:cs="Arial"/>
          <w:sz w:val="24"/>
          <w:szCs w:val="24"/>
        </w:rPr>
        <w:t>.</w:t>
      </w:r>
    </w:p>
    <w:p w14:paraId="5E657685" w14:textId="77777777" w:rsidR="0037227C" w:rsidRPr="00FA228F" w:rsidRDefault="00FA228F" w:rsidP="0037227C">
      <w:pPr>
        <w:rPr>
          <w:rFonts w:ascii="Arial" w:hAnsi="Arial" w:cs="Arial"/>
          <w:sz w:val="24"/>
          <w:szCs w:val="24"/>
        </w:rPr>
      </w:pPr>
      <w:r w:rsidRPr="00FA228F">
        <w:rPr>
          <w:rFonts w:ascii="Arial" w:hAnsi="Arial" w:cs="Arial"/>
          <w:sz w:val="24"/>
          <w:szCs w:val="24"/>
        </w:rPr>
        <w:t>The OCC</w:t>
      </w:r>
      <w:r w:rsidR="003D43F3">
        <w:rPr>
          <w:rFonts w:ascii="Arial" w:hAnsi="Arial" w:cs="Arial"/>
          <w:sz w:val="24"/>
          <w:szCs w:val="24"/>
        </w:rPr>
        <w:t xml:space="preserve"> </w:t>
      </w:r>
      <w:r w:rsidR="003D43F3" w:rsidRPr="003D43F3">
        <w:rPr>
          <w:rFonts w:ascii="Arial" w:hAnsi="Arial" w:cs="Arial"/>
          <w:sz w:val="24"/>
          <w:szCs w:val="24"/>
        </w:rPr>
        <w:t xml:space="preserve">receives whistleblowing disclosures in letters, emails and via our </w:t>
      </w:r>
      <w:r w:rsidR="003D43F3">
        <w:rPr>
          <w:rFonts w:ascii="Arial" w:hAnsi="Arial" w:cs="Arial"/>
          <w:sz w:val="24"/>
          <w:szCs w:val="24"/>
        </w:rPr>
        <w:t xml:space="preserve">advice </w:t>
      </w:r>
      <w:r w:rsidR="003D43F3" w:rsidRPr="003D43F3">
        <w:rPr>
          <w:rFonts w:ascii="Arial" w:hAnsi="Arial" w:cs="Arial"/>
          <w:sz w:val="24"/>
          <w:szCs w:val="24"/>
        </w:rPr>
        <w:t>helpline</w:t>
      </w:r>
      <w:r w:rsidR="0037227C">
        <w:rPr>
          <w:rFonts w:ascii="Arial" w:hAnsi="Arial" w:cs="Arial"/>
          <w:sz w:val="24"/>
          <w:szCs w:val="24"/>
        </w:rPr>
        <w:t xml:space="preserve"> (Help at Hand)</w:t>
      </w:r>
      <w:r w:rsidR="003D43F3" w:rsidRPr="003D43F3">
        <w:rPr>
          <w:rFonts w:ascii="Arial" w:hAnsi="Arial" w:cs="Arial"/>
          <w:sz w:val="24"/>
          <w:szCs w:val="24"/>
        </w:rPr>
        <w:t xml:space="preserve">. Sometimes, the information is provided anonymously. </w:t>
      </w:r>
      <w:r w:rsidR="0037227C" w:rsidRPr="00FA228F">
        <w:rPr>
          <w:rFonts w:ascii="Arial" w:hAnsi="Arial" w:cs="Arial"/>
          <w:sz w:val="24"/>
          <w:szCs w:val="24"/>
        </w:rPr>
        <w:t xml:space="preserve">We always discuss anonymity and confidentiality with whistle-blowers and we never close a case until we are sure that the necessary safeguarding action has been taken. </w:t>
      </w:r>
    </w:p>
    <w:p w14:paraId="7580AF72" w14:textId="77777777" w:rsidR="0037227C" w:rsidRPr="00FA228F" w:rsidRDefault="0037227C" w:rsidP="0037227C">
      <w:pPr>
        <w:rPr>
          <w:rFonts w:ascii="Arial" w:hAnsi="Arial" w:cs="Arial"/>
          <w:sz w:val="24"/>
          <w:szCs w:val="24"/>
        </w:rPr>
      </w:pPr>
      <w:r w:rsidRPr="00FA228F">
        <w:rPr>
          <w:rFonts w:ascii="Arial" w:hAnsi="Arial" w:cs="Arial"/>
          <w:sz w:val="24"/>
          <w:szCs w:val="24"/>
        </w:rPr>
        <w:t>Sometimes we are the first people that the whistle-blower has raised the concern with and sometimes they have raised it many times before and felt no one was listening.</w:t>
      </w:r>
      <w:r>
        <w:rPr>
          <w:rFonts w:ascii="Arial" w:hAnsi="Arial" w:cs="Arial"/>
          <w:sz w:val="24"/>
          <w:szCs w:val="24"/>
        </w:rPr>
        <w:t xml:space="preserve"> </w:t>
      </w:r>
      <w:r w:rsidRPr="00FA228F">
        <w:rPr>
          <w:rFonts w:ascii="Arial" w:hAnsi="Arial" w:cs="Arial"/>
          <w:sz w:val="24"/>
          <w:szCs w:val="24"/>
        </w:rPr>
        <w:t xml:space="preserve">The Employment Tribunal may also refer claims to us when they feel we are the relevant prescribed person. </w:t>
      </w:r>
    </w:p>
    <w:p w14:paraId="64D78E2A" w14:textId="47C90F8A" w:rsidR="00454809" w:rsidRPr="003D43F3" w:rsidRDefault="00454809" w:rsidP="00454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policy and guidance for whistleblowers published on our website - </w:t>
      </w:r>
      <w:hyperlink r:id="rId11" w:history="1">
        <w:r w:rsidR="00F83772" w:rsidRPr="00783DAB">
          <w:rPr>
            <w:rStyle w:val="Hyperlink"/>
            <w:rFonts w:ascii="Arial" w:hAnsi="Arial" w:cs="Arial"/>
            <w:sz w:val="24"/>
            <w:szCs w:val="24"/>
          </w:rPr>
          <w:t>https://www.childrenscommissioner.gov.uk/wp-content/uploads/2020/01/cco-whistleblowing-policy-guidance.pdf</w:t>
        </w:r>
      </w:hyperlink>
      <w:r w:rsidR="00F83772">
        <w:rPr>
          <w:rFonts w:ascii="Arial" w:hAnsi="Arial" w:cs="Arial"/>
          <w:sz w:val="24"/>
          <w:szCs w:val="24"/>
        </w:rPr>
        <w:t xml:space="preserve"> </w:t>
      </w:r>
    </w:p>
    <w:p w14:paraId="3C75D4DF" w14:textId="593A88E0" w:rsidR="0037227C" w:rsidRDefault="00D16DEA" w:rsidP="00FA228F">
      <w:pPr>
        <w:rPr>
          <w:rFonts w:ascii="Arial" w:hAnsi="Arial" w:cs="Arial"/>
          <w:sz w:val="24"/>
          <w:szCs w:val="24"/>
        </w:rPr>
      </w:pPr>
      <w:r w:rsidRPr="00D16DEA">
        <w:rPr>
          <w:rFonts w:ascii="Arial" w:hAnsi="Arial" w:cs="Arial"/>
          <w:sz w:val="24"/>
          <w:szCs w:val="24"/>
        </w:rPr>
        <w:t>The Office of the Children’s Commissioner recognises, in accordance with established protocols</w:t>
      </w:r>
      <w:r w:rsidR="009557DB">
        <w:rPr>
          <w:rFonts w:ascii="Arial" w:hAnsi="Arial" w:cs="Arial"/>
          <w:sz w:val="24"/>
          <w:szCs w:val="24"/>
        </w:rPr>
        <w:t>,</w:t>
      </w:r>
      <w:r w:rsidRPr="00D16DEA">
        <w:rPr>
          <w:rFonts w:ascii="Arial" w:hAnsi="Arial" w:cs="Arial"/>
          <w:sz w:val="24"/>
          <w:szCs w:val="24"/>
        </w:rPr>
        <w:t xml:space="preserve"> that whistleblowing </w:t>
      </w:r>
      <w:r w:rsidR="009557DB">
        <w:rPr>
          <w:rFonts w:ascii="Arial" w:hAnsi="Arial" w:cs="Arial"/>
          <w:sz w:val="24"/>
          <w:szCs w:val="24"/>
        </w:rPr>
        <w:t>i</w:t>
      </w:r>
      <w:r w:rsidRPr="00D16DEA">
        <w:rPr>
          <w:rFonts w:ascii="Arial" w:hAnsi="Arial" w:cs="Arial"/>
          <w:sz w:val="24"/>
          <w:szCs w:val="24"/>
        </w:rPr>
        <w:t xml:space="preserve">s an important avenue for those with genuine concerns about an organisation and its conduct towards children to raise such concerns </w:t>
      </w:r>
      <w:r w:rsidR="009557DB">
        <w:rPr>
          <w:rFonts w:ascii="Arial" w:hAnsi="Arial" w:cs="Arial"/>
          <w:sz w:val="24"/>
          <w:szCs w:val="24"/>
        </w:rPr>
        <w:t>so that they can be addressed</w:t>
      </w:r>
      <w:r w:rsidRPr="00D16DEA">
        <w:rPr>
          <w:rFonts w:ascii="Arial" w:hAnsi="Arial" w:cs="Arial"/>
          <w:sz w:val="24"/>
          <w:szCs w:val="24"/>
        </w:rPr>
        <w:t xml:space="preserve"> without that individual being concerned for their employment or position.</w:t>
      </w:r>
    </w:p>
    <w:p w14:paraId="0F745345" w14:textId="77777777" w:rsidR="00D16DEA" w:rsidRDefault="00D16DEA" w:rsidP="00FA228F">
      <w:pPr>
        <w:rPr>
          <w:rFonts w:ascii="Arial" w:hAnsi="Arial" w:cs="Arial"/>
          <w:b/>
          <w:bCs/>
          <w:sz w:val="24"/>
          <w:szCs w:val="24"/>
        </w:rPr>
      </w:pPr>
    </w:p>
    <w:p w14:paraId="7CAB32E3" w14:textId="77777777" w:rsidR="00D16DEA" w:rsidRDefault="00D16DEA" w:rsidP="00FA228F">
      <w:pPr>
        <w:rPr>
          <w:rFonts w:ascii="Arial" w:hAnsi="Arial" w:cs="Arial"/>
          <w:b/>
          <w:bCs/>
          <w:sz w:val="24"/>
          <w:szCs w:val="24"/>
        </w:rPr>
      </w:pPr>
    </w:p>
    <w:p w14:paraId="4ECC30D7" w14:textId="77777777" w:rsidR="00D16DEA" w:rsidRDefault="00D16DEA" w:rsidP="00FA228F">
      <w:pPr>
        <w:rPr>
          <w:rFonts w:ascii="Arial" w:hAnsi="Arial" w:cs="Arial"/>
          <w:b/>
          <w:bCs/>
          <w:sz w:val="24"/>
          <w:szCs w:val="24"/>
        </w:rPr>
      </w:pPr>
    </w:p>
    <w:p w14:paraId="0A7A840C" w14:textId="1ED44992" w:rsidR="0037227C" w:rsidRPr="00454809" w:rsidRDefault="00454809" w:rsidP="00FA228F">
      <w:pPr>
        <w:rPr>
          <w:rFonts w:ascii="Arial" w:hAnsi="Arial" w:cs="Arial"/>
          <w:b/>
          <w:bCs/>
          <w:sz w:val="24"/>
          <w:szCs w:val="24"/>
        </w:rPr>
      </w:pPr>
      <w:r w:rsidRPr="00454809">
        <w:rPr>
          <w:rFonts w:ascii="Arial" w:hAnsi="Arial" w:cs="Arial"/>
          <w:b/>
          <w:bCs/>
          <w:sz w:val="24"/>
          <w:szCs w:val="24"/>
        </w:rPr>
        <w:t>Activity in 20</w:t>
      </w:r>
      <w:r w:rsidR="002903C0">
        <w:rPr>
          <w:rFonts w:ascii="Arial" w:hAnsi="Arial" w:cs="Arial"/>
          <w:b/>
          <w:bCs/>
          <w:sz w:val="24"/>
          <w:szCs w:val="24"/>
        </w:rPr>
        <w:t>20</w:t>
      </w:r>
      <w:r w:rsidRPr="00454809">
        <w:rPr>
          <w:rFonts w:ascii="Arial" w:hAnsi="Arial" w:cs="Arial"/>
          <w:b/>
          <w:bCs/>
          <w:sz w:val="24"/>
          <w:szCs w:val="24"/>
        </w:rPr>
        <w:t>/</w:t>
      </w:r>
      <w:r w:rsidR="009D12D3">
        <w:rPr>
          <w:rFonts w:ascii="Arial" w:hAnsi="Arial" w:cs="Arial"/>
          <w:b/>
          <w:bCs/>
          <w:sz w:val="24"/>
          <w:szCs w:val="24"/>
        </w:rPr>
        <w:t>2</w:t>
      </w:r>
      <w:r w:rsidR="002903C0">
        <w:rPr>
          <w:rFonts w:ascii="Arial" w:hAnsi="Arial" w:cs="Arial"/>
          <w:b/>
          <w:bCs/>
          <w:sz w:val="24"/>
          <w:szCs w:val="24"/>
        </w:rPr>
        <w:t>1</w:t>
      </w:r>
    </w:p>
    <w:p w14:paraId="19286EF8" w14:textId="6FCD404D" w:rsidR="00FA228F" w:rsidRDefault="009557DB" w:rsidP="00FA2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2020/21 the Office of the Children’s Commissioner</w:t>
      </w:r>
      <w:r w:rsidR="00454809">
        <w:rPr>
          <w:rFonts w:ascii="Arial" w:hAnsi="Arial" w:cs="Arial"/>
          <w:sz w:val="24"/>
          <w:szCs w:val="24"/>
        </w:rPr>
        <w:t xml:space="preserve"> </w:t>
      </w:r>
      <w:r w:rsidR="005F5F32">
        <w:rPr>
          <w:rFonts w:ascii="Arial" w:hAnsi="Arial" w:cs="Arial"/>
          <w:sz w:val="24"/>
          <w:szCs w:val="24"/>
        </w:rPr>
        <w:t xml:space="preserve">received </w:t>
      </w:r>
      <w:r w:rsidR="0021411E" w:rsidRPr="0021411E">
        <w:rPr>
          <w:rFonts w:ascii="Arial" w:hAnsi="Arial" w:cs="Arial"/>
          <w:b/>
          <w:bCs/>
          <w:sz w:val="24"/>
          <w:szCs w:val="24"/>
        </w:rPr>
        <w:t>ten</w:t>
      </w:r>
      <w:r w:rsidR="0021411E">
        <w:rPr>
          <w:rFonts w:ascii="Arial" w:hAnsi="Arial" w:cs="Arial"/>
          <w:sz w:val="24"/>
          <w:szCs w:val="24"/>
        </w:rPr>
        <w:t xml:space="preserve"> </w:t>
      </w:r>
      <w:r w:rsidR="00FA228F" w:rsidRPr="00FA228F">
        <w:rPr>
          <w:rFonts w:ascii="Arial" w:hAnsi="Arial" w:cs="Arial"/>
          <w:sz w:val="24"/>
          <w:szCs w:val="24"/>
        </w:rPr>
        <w:t xml:space="preserve">whistle-blowing concerns from a </w:t>
      </w:r>
      <w:r>
        <w:rPr>
          <w:rFonts w:ascii="Arial" w:hAnsi="Arial" w:cs="Arial"/>
          <w:sz w:val="24"/>
          <w:szCs w:val="24"/>
        </w:rPr>
        <w:t>range of sources</w:t>
      </w:r>
      <w:r w:rsidR="00FA228F" w:rsidRPr="00FA228F">
        <w:rPr>
          <w:rFonts w:ascii="Arial" w:hAnsi="Arial" w:cs="Arial"/>
          <w:sz w:val="24"/>
          <w:szCs w:val="24"/>
        </w:rPr>
        <w:t xml:space="preserve"> including employees of children’s services and residential schools</w:t>
      </w:r>
      <w:r w:rsidR="00454809">
        <w:rPr>
          <w:rFonts w:ascii="Arial" w:hAnsi="Arial" w:cs="Arial"/>
          <w:sz w:val="24"/>
          <w:szCs w:val="24"/>
        </w:rPr>
        <w:t xml:space="preserve"> and care settings</w:t>
      </w:r>
      <w:r w:rsidR="00FA228F" w:rsidRPr="00FA228F">
        <w:rPr>
          <w:rFonts w:ascii="Arial" w:hAnsi="Arial" w:cs="Arial"/>
          <w:sz w:val="24"/>
          <w:szCs w:val="24"/>
        </w:rPr>
        <w:t xml:space="preserve">. </w:t>
      </w:r>
    </w:p>
    <w:p w14:paraId="3F35D2D2" w14:textId="273FF957" w:rsidR="00FA228F" w:rsidRDefault="00454809" w:rsidP="00FA2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</w:t>
      </w:r>
      <w:r w:rsidR="00FA228F" w:rsidRPr="00FA228F">
        <w:rPr>
          <w:rFonts w:ascii="Arial" w:hAnsi="Arial" w:cs="Arial"/>
          <w:sz w:val="24"/>
          <w:szCs w:val="24"/>
        </w:rPr>
        <w:t xml:space="preserve"> </w:t>
      </w:r>
      <w:r w:rsidR="009557DB">
        <w:rPr>
          <w:rFonts w:ascii="Arial" w:hAnsi="Arial" w:cs="Arial"/>
          <w:sz w:val="24"/>
          <w:szCs w:val="24"/>
        </w:rPr>
        <w:t>kinds</w:t>
      </w:r>
      <w:r w:rsidR="00FA228F" w:rsidRPr="00FA228F">
        <w:rPr>
          <w:rFonts w:ascii="Arial" w:hAnsi="Arial" w:cs="Arial"/>
          <w:sz w:val="24"/>
          <w:szCs w:val="24"/>
        </w:rPr>
        <w:t xml:space="preserve"> of concerns have been raised</w:t>
      </w:r>
      <w:r w:rsidR="009557D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57DB">
        <w:rPr>
          <w:rFonts w:ascii="Arial" w:hAnsi="Arial" w:cs="Arial"/>
          <w:sz w:val="24"/>
          <w:szCs w:val="24"/>
        </w:rPr>
        <w:t>including</w:t>
      </w:r>
      <w:r w:rsidR="00FA228F" w:rsidRPr="00FA228F">
        <w:rPr>
          <w:rFonts w:ascii="Arial" w:hAnsi="Arial" w:cs="Arial"/>
          <w:sz w:val="24"/>
          <w:szCs w:val="24"/>
        </w:rPr>
        <w:t>failures</w:t>
      </w:r>
      <w:proofErr w:type="spellEnd"/>
      <w:r w:rsidR="00FA228F" w:rsidRPr="00FA228F">
        <w:rPr>
          <w:rFonts w:ascii="Arial" w:hAnsi="Arial" w:cs="Arial"/>
          <w:sz w:val="24"/>
          <w:szCs w:val="24"/>
        </w:rPr>
        <w:t xml:space="preserve"> in safeguarding procedures and restraint</w:t>
      </w:r>
      <w:r>
        <w:rPr>
          <w:rFonts w:ascii="Arial" w:hAnsi="Arial" w:cs="Arial"/>
          <w:sz w:val="24"/>
          <w:szCs w:val="24"/>
        </w:rPr>
        <w:t xml:space="preserve"> in schools and residential children’s homes.</w:t>
      </w:r>
      <w:r w:rsidR="00FA228F" w:rsidRPr="00FA228F">
        <w:rPr>
          <w:rFonts w:ascii="Arial" w:hAnsi="Arial" w:cs="Arial"/>
          <w:sz w:val="24"/>
          <w:szCs w:val="24"/>
        </w:rPr>
        <w:t xml:space="preserve"> </w:t>
      </w:r>
    </w:p>
    <w:p w14:paraId="0EE59B02" w14:textId="77777777" w:rsidR="00FA228F" w:rsidRDefault="00FA228F" w:rsidP="00504147">
      <w:pPr>
        <w:rPr>
          <w:rFonts w:ascii="Arial" w:hAnsi="Arial" w:cs="Arial"/>
        </w:rPr>
      </w:pPr>
    </w:p>
    <w:p w14:paraId="1978519A" w14:textId="20AC3D6D" w:rsidR="00FA228F" w:rsidRPr="003D43F3" w:rsidRDefault="00FA228F" w:rsidP="003D43F3">
      <w:pPr>
        <w:jc w:val="center"/>
        <w:rPr>
          <w:rFonts w:ascii="Arial" w:hAnsi="Arial" w:cs="Arial"/>
          <w:b/>
          <w:sz w:val="24"/>
          <w:szCs w:val="24"/>
        </w:rPr>
      </w:pPr>
      <w:r w:rsidRPr="003D43F3">
        <w:rPr>
          <w:rFonts w:ascii="Arial" w:hAnsi="Arial" w:cs="Arial"/>
          <w:b/>
          <w:sz w:val="24"/>
          <w:szCs w:val="24"/>
        </w:rPr>
        <w:t>Breakdown of disclosures received from 1 April 20</w:t>
      </w:r>
      <w:r w:rsidR="002903C0">
        <w:rPr>
          <w:rFonts w:ascii="Arial" w:hAnsi="Arial" w:cs="Arial"/>
          <w:b/>
          <w:sz w:val="24"/>
          <w:szCs w:val="24"/>
        </w:rPr>
        <w:t>20</w:t>
      </w:r>
      <w:r w:rsidRPr="003D43F3">
        <w:rPr>
          <w:rFonts w:ascii="Arial" w:hAnsi="Arial" w:cs="Arial"/>
          <w:b/>
          <w:sz w:val="24"/>
          <w:szCs w:val="24"/>
        </w:rPr>
        <w:t xml:space="preserve"> to 31 March 20</w:t>
      </w:r>
      <w:r w:rsidR="009D12D3">
        <w:rPr>
          <w:rFonts w:ascii="Arial" w:hAnsi="Arial" w:cs="Arial"/>
          <w:b/>
          <w:sz w:val="24"/>
          <w:szCs w:val="24"/>
        </w:rPr>
        <w:t>2</w:t>
      </w:r>
      <w:r w:rsidR="002903C0">
        <w:rPr>
          <w:rFonts w:ascii="Arial" w:hAnsi="Arial" w:cs="Arial"/>
          <w:b/>
          <w:sz w:val="24"/>
          <w:szCs w:val="24"/>
        </w:rPr>
        <w:t>1</w:t>
      </w: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3D43F3" w:rsidRPr="003D43F3" w14:paraId="74CD6E1A" w14:textId="77777777" w:rsidTr="003D43F3">
        <w:tc>
          <w:tcPr>
            <w:tcW w:w="7225" w:type="dxa"/>
          </w:tcPr>
          <w:p w14:paraId="37DF4B6D" w14:textId="77777777" w:rsidR="003D43F3" w:rsidRPr="003D43F3" w:rsidRDefault="003D43F3" w:rsidP="00504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3F3">
              <w:rPr>
                <w:rFonts w:ascii="Arial" w:hAnsi="Arial" w:cs="Arial"/>
                <w:b/>
                <w:sz w:val="24"/>
                <w:szCs w:val="24"/>
              </w:rPr>
              <w:t xml:space="preserve">Service the disclosure relates to </w:t>
            </w:r>
          </w:p>
        </w:tc>
        <w:tc>
          <w:tcPr>
            <w:tcW w:w="1842" w:type="dxa"/>
          </w:tcPr>
          <w:p w14:paraId="0C5D5D35" w14:textId="77777777" w:rsidR="003D43F3" w:rsidRPr="003D43F3" w:rsidRDefault="003D43F3" w:rsidP="00504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3F3">
              <w:rPr>
                <w:rFonts w:ascii="Arial" w:hAnsi="Arial" w:cs="Arial"/>
                <w:b/>
                <w:sz w:val="24"/>
                <w:szCs w:val="24"/>
              </w:rPr>
              <w:t xml:space="preserve">Number of Disclosures Received </w:t>
            </w:r>
          </w:p>
        </w:tc>
      </w:tr>
      <w:tr w:rsidR="003D43F3" w:rsidRPr="002903C0" w14:paraId="618BE923" w14:textId="77777777" w:rsidTr="003D43F3">
        <w:tc>
          <w:tcPr>
            <w:tcW w:w="7225" w:type="dxa"/>
          </w:tcPr>
          <w:p w14:paraId="0805CFF6" w14:textId="77777777" w:rsidR="003D43F3" w:rsidRPr="0021411E" w:rsidRDefault="003D43F3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 xml:space="preserve">Children’s Homes </w:t>
            </w:r>
          </w:p>
        </w:tc>
        <w:tc>
          <w:tcPr>
            <w:tcW w:w="1842" w:type="dxa"/>
          </w:tcPr>
          <w:p w14:paraId="6207D539" w14:textId="1BF4F670" w:rsidR="003D43F3" w:rsidRPr="0021411E" w:rsidRDefault="0021411E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43F3" w:rsidRPr="002903C0" w14:paraId="713A47A5" w14:textId="77777777" w:rsidTr="003D43F3">
        <w:tc>
          <w:tcPr>
            <w:tcW w:w="7225" w:type="dxa"/>
          </w:tcPr>
          <w:p w14:paraId="4F7BC01A" w14:textId="522921D1" w:rsidR="003D43F3" w:rsidRPr="0021411E" w:rsidRDefault="003D43F3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 xml:space="preserve">Local Authority </w:t>
            </w:r>
          </w:p>
        </w:tc>
        <w:tc>
          <w:tcPr>
            <w:tcW w:w="1842" w:type="dxa"/>
          </w:tcPr>
          <w:p w14:paraId="59857DDC" w14:textId="367C1B1E" w:rsidR="003D43F3" w:rsidRPr="0021411E" w:rsidRDefault="00046E5F" w:rsidP="00504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411E" w:rsidRPr="002903C0" w14:paraId="33530CFE" w14:textId="77777777" w:rsidTr="003D43F3">
        <w:tc>
          <w:tcPr>
            <w:tcW w:w="7225" w:type="dxa"/>
          </w:tcPr>
          <w:p w14:paraId="40B9F557" w14:textId="06656067" w:rsidR="0021411E" w:rsidRPr="0021411E" w:rsidRDefault="0021411E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 xml:space="preserve">NHS </w:t>
            </w:r>
            <w:r>
              <w:rPr>
                <w:rFonts w:ascii="Arial" w:hAnsi="Arial" w:cs="Arial"/>
                <w:sz w:val="24"/>
                <w:szCs w:val="24"/>
              </w:rPr>
              <w:t xml:space="preserve">service </w:t>
            </w:r>
          </w:p>
        </w:tc>
        <w:tc>
          <w:tcPr>
            <w:tcW w:w="1842" w:type="dxa"/>
          </w:tcPr>
          <w:p w14:paraId="3905EC9D" w14:textId="7612C836" w:rsidR="0021411E" w:rsidRPr="0021411E" w:rsidRDefault="0021411E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3F3" w:rsidRPr="002903C0" w14:paraId="543D5C06" w14:textId="77777777" w:rsidTr="003D43F3">
        <w:tc>
          <w:tcPr>
            <w:tcW w:w="7225" w:type="dxa"/>
          </w:tcPr>
          <w:p w14:paraId="63DB8644" w14:textId="07DC1C81" w:rsidR="003D43F3" w:rsidRPr="0021411E" w:rsidRDefault="003D43F3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1842" w:type="dxa"/>
          </w:tcPr>
          <w:p w14:paraId="77BACC52" w14:textId="227E6335" w:rsidR="003D43F3" w:rsidRPr="0021411E" w:rsidRDefault="009D12D3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1411E" w:rsidRPr="002903C0" w14:paraId="0A448356" w14:textId="77777777" w:rsidTr="003D43F3">
        <w:tc>
          <w:tcPr>
            <w:tcW w:w="7225" w:type="dxa"/>
          </w:tcPr>
          <w:p w14:paraId="133A4C11" w14:textId="206B0697" w:rsidR="0021411E" w:rsidRPr="0021411E" w:rsidRDefault="0021411E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 xml:space="preserve">Unregulated setting </w:t>
            </w:r>
          </w:p>
        </w:tc>
        <w:tc>
          <w:tcPr>
            <w:tcW w:w="1842" w:type="dxa"/>
          </w:tcPr>
          <w:p w14:paraId="3E84DDFA" w14:textId="44E883AE" w:rsidR="0021411E" w:rsidRPr="0021411E" w:rsidRDefault="0021411E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3F3" w:rsidRPr="002903C0" w14:paraId="4CAB0F52" w14:textId="77777777" w:rsidTr="003D43F3">
        <w:tc>
          <w:tcPr>
            <w:tcW w:w="7225" w:type="dxa"/>
          </w:tcPr>
          <w:p w14:paraId="3E468165" w14:textId="026D9609" w:rsidR="003D43F3" w:rsidRPr="0021411E" w:rsidRDefault="00046E5F" w:rsidP="00504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Provider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non residential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31DED556" w14:textId="445A7802" w:rsidR="003D43F3" w:rsidRPr="0021411E" w:rsidRDefault="00046E5F" w:rsidP="00504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46E5F" w:rsidRPr="002903C0" w14:paraId="385D04FC" w14:textId="77777777" w:rsidTr="003D43F3">
        <w:tc>
          <w:tcPr>
            <w:tcW w:w="7225" w:type="dxa"/>
          </w:tcPr>
          <w:p w14:paraId="04A01929" w14:textId="10045F24" w:rsidR="00046E5F" w:rsidRDefault="00046E5F" w:rsidP="00504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Provider (residential)</w:t>
            </w:r>
          </w:p>
        </w:tc>
        <w:tc>
          <w:tcPr>
            <w:tcW w:w="1842" w:type="dxa"/>
          </w:tcPr>
          <w:p w14:paraId="0CF1EEA6" w14:textId="12C2AB4B" w:rsidR="00046E5F" w:rsidRDefault="00046E5F" w:rsidP="00504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D43F3" w:rsidRPr="002903C0" w14:paraId="1272BDE1" w14:textId="77777777" w:rsidTr="003D43F3">
        <w:tc>
          <w:tcPr>
            <w:tcW w:w="7225" w:type="dxa"/>
          </w:tcPr>
          <w:p w14:paraId="597796C7" w14:textId="77777777" w:rsidR="003D43F3" w:rsidRPr="0021411E" w:rsidRDefault="003D43F3" w:rsidP="00504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E02FE6" w14:textId="77777777" w:rsidR="003D43F3" w:rsidRPr="0021411E" w:rsidRDefault="003D43F3" w:rsidP="003D43F3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 xml:space="preserve">Total </w:t>
            </w:r>
          </w:p>
        </w:tc>
        <w:tc>
          <w:tcPr>
            <w:tcW w:w="1842" w:type="dxa"/>
          </w:tcPr>
          <w:p w14:paraId="429A8211" w14:textId="77777777" w:rsidR="003D43F3" w:rsidRPr="0021411E" w:rsidRDefault="003D43F3" w:rsidP="005041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C9527" w14:textId="0DEC645D" w:rsidR="003D43F3" w:rsidRPr="0021411E" w:rsidRDefault="003D43F3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>1</w:t>
            </w:r>
            <w:r w:rsidR="0021411E" w:rsidRPr="0021411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6EB29DE" w14:textId="77777777" w:rsidR="00504147" w:rsidRPr="003D43F3" w:rsidRDefault="00504147" w:rsidP="00504147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504147" w:rsidRPr="003D43F3" w14:paraId="7155123D" w14:textId="77777777" w:rsidTr="003D43F3">
        <w:tc>
          <w:tcPr>
            <w:tcW w:w="7225" w:type="dxa"/>
          </w:tcPr>
          <w:p w14:paraId="47DA9175" w14:textId="77777777" w:rsidR="00504147" w:rsidRPr="003D43F3" w:rsidRDefault="00504147" w:rsidP="00504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3F3">
              <w:rPr>
                <w:rFonts w:ascii="Arial" w:hAnsi="Arial" w:cs="Arial"/>
                <w:b/>
                <w:sz w:val="24"/>
                <w:szCs w:val="24"/>
              </w:rPr>
              <w:t xml:space="preserve">Action taken in the reporting period </w:t>
            </w:r>
          </w:p>
        </w:tc>
        <w:tc>
          <w:tcPr>
            <w:tcW w:w="1791" w:type="dxa"/>
          </w:tcPr>
          <w:p w14:paraId="270B2347" w14:textId="77777777" w:rsidR="00504147" w:rsidRPr="003D43F3" w:rsidRDefault="00504147" w:rsidP="00504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3F3">
              <w:rPr>
                <w:rFonts w:ascii="Arial" w:hAnsi="Arial" w:cs="Arial"/>
                <w:b/>
                <w:sz w:val="24"/>
                <w:szCs w:val="24"/>
              </w:rPr>
              <w:t xml:space="preserve">Number of Disclosures Received </w:t>
            </w:r>
          </w:p>
        </w:tc>
      </w:tr>
      <w:tr w:rsidR="00504147" w:rsidRPr="003D43F3" w14:paraId="2DAAE591" w14:textId="77777777" w:rsidTr="003D43F3">
        <w:tc>
          <w:tcPr>
            <w:tcW w:w="7225" w:type="dxa"/>
          </w:tcPr>
          <w:p w14:paraId="67A997E2" w14:textId="77777777" w:rsidR="00504147" w:rsidRPr="003D43F3" w:rsidRDefault="00504147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3D43F3">
              <w:rPr>
                <w:rFonts w:ascii="Arial" w:hAnsi="Arial" w:cs="Arial"/>
                <w:sz w:val="24"/>
                <w:szCs w:val="24"/>
              </w:rPr>
              <w:t xml:space="preserve">All concerns were sent to the appropriate bodies including the local authority, police and Ofsted </w:t>
            </w:r>
          </w:p>
        </w:tc>
        <w:tc>
          <w:tcPr>
            <w:tcW w:w="1791" w:type="dxa"/>
          </w:tcPr>
          <w:p w14:paraId="70349E54" w14:textId="3850D0B7" w:rsidR="00504147" w:rsidRPr="0021411E" w:rsidRDefault="0021411E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4147" w:rsidRPr="003D43F3" w14:paraId="1D0BF053" w14:textId="77777777" w:rsidTr="003D43F3">
        <w:tc>
          <w:tcPr>
            <w:tcW w:w="7225" w:type="dxa"/>
          </w:tcPr>
          <w:p w14:paraId="1035B8A1" w14:textId="77777777" w:rsidR="00504147" w:rsidRPr="003D43F3" w:rsidRDefault="00504147" w:rsidP="005F5F32">
            <w:pPr>
              <w:rPr>
                <w:rFonts w:ascii="Arial" w:hAnsi="Arial" w:cs="Arial"/>
                <w:sz w:val="24"/>
                <w:szCs w:val="24"/>
              </w:rPr>
            </w:pPr>
            <w:r w:rsidRPr="003D43F3">
              <w:rPr>
                <w:rFonts w:ascii="Arial" w:hAnsi="Arial" w:cs="Arial"/>
                <w:sz w:val="24"/>
                <w:szCs w:val="24"/>
              </w:rPr>
              <w:t xml:space="preserve">Not taken forward: closed through lack of engagement/ information </w:t>
            </w:r>
            <w:r w:rsidR="005F5F32">
              <w:rPr>
                <w:rFonts w:ascii="Arial" w:hAnsi="Arial" w:cs="Arial"/>
                <w:sz w:val="24"/>
                <w:szCs w:val="24"/>
              </w:rPr>
              <w:t>from</w:t>
            </w:r>
            <w:r w:rsidR="005F5F32" w:rsidRPr="003D43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43F3">
              <w:rPr>
                <w:rFonts w:ascii="Arial" w:hAnsi="Arial" w:cs="Arial"/>
                <w:sz w:val="24"/>
                <w:szCs w:val="24"/>
              </w:rPr>
              <w:t xml:space="preserve">the whistle-blower </w:t>
            </w:r>
          </w:p>
        </w:tc>
        <w:tc>
          <w:tcPr>
            <w:tcW w:w="1791" w:type="dxa"/>
          </w:tcPr>
          <w:p w14:paraId="77F8C0DE" w14:textId="043E982C" w:rsidR="00504147" w:rsidRPr="0021411E" w:rsidRDefault="0021411E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21411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6E0F5460" w14:textId="77777777" w:rsidR="00504147" w:rsidRPr="003D43F3" w:rsidRDefault="00504147" w:rsidP="00504147">
      <w:pPr>
        <w:rPr>
          <w:rFonts w:ascii="Arial" w:hAnsi="Arial" w:cs="Arial"/>
          <w:sz w:val="24"/>
          <w:szCs w:val="24"/>
        </w:rPr>
      </w:pPr>
    </w:p>
    <w:p w14:paraId="5D24D7DE" w14:textId="77777777" w:rsidR="003D43F3" w:rsidRPr="003D43F3" w:rsidRDefault="003D43F3" w:rsidP="00504147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504147" w:rsidRPr="003D43F3" w14:paraId="4465C5D4" w14:textId="77777777" w:rsidTr="003D43F3">
        <w:trPr>
          <w:trHeight w:val="936"/>
        </w:trPr>
        <w:tc>
          <w:tcPr>
            <w:tcW w:w="7225" w:type="dxa"/>
          </w:tcPr>
          <w:p w14:paraId="697A3630" w14:textId="5C4D3933" w:rsidR="00504147" w:rsidRPr="003D43F3" w:rsidRDefault="00504147" w:rsidP="00504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3F3">
              <w:rPr>
                <w:rFonts w:ascii="Arial" w:hAnsi="Arial" w:cs="Arial"/>
                <w:b/>
                <w:sz w:val="24"/>
                <w:szCs w:val="24"/>
              </w:rPr>
              <w:t>Summary of the categories under which the whistleblowing disclosure</w:t>
            </w:r>
            <w:r w:rsidR="009557D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D43F3">
              <w:rPr>
                <w:rFonts w:ascii="Arial" w:hAnsi="Arial" w:cs="Arial"/>
                <w:b/>
                <w:sz w:val="24"/>
                <w:szCs w:val="24"/>
              </w:rPr>
              <w:t xml:space="preserve"> were classified </w:t>
            </w:r>
            <w:r w:rsidR="00DD3321">
              <w:rPr>
                <w:rStyle w:val="EndnoteReference"/>
                <w:rFonts w:ascii="Arial" w:hAnsi="Arial" w:cs="Arial"/>
                <w:b/>
                <w:sz w:val="24"/>
                <w:szCs w:val="24"/>
              </w:rPr>
              <w:endnoteReference w:id="1"/>
            </w:r>
          </w:p>
        </w:tc>
        <w:tc>
          <w:tcPr>
            <w:tcW w:w="1842" w:type="dxa"/>
          </w:tcPr>
          <w:p w14:paraId="107DC7C7" w14:textId="77777777" w:rsidR="00504147" w:rsidRPr="003D43F3" w:rsidRDefault="00504147" w:rsidP="005041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43F3">
              <w:rPr>
                <w:rFonts w:ascii="Arial" w:hAnsi="Arial" w:cs="Arial"/>
                <w:b/>
                <w:sz w:val="24"/>
                <w:szCs w:val="24"/>
              </w:rPr>
              <w:t xml:space="preserve">Number of Disclosures Received </w:t>
            </w:r>
          </w:p>
        </w:tc>
      </w:tr>
      <w:tr w:rsidR="00504147" w:rsidRPr="003D43F3" w14:paraId="241D79D9" w14:textId="77777777" w:rsidTr="003D43F3">
        <w:trPr>
          <w:trHeight w:val="485"/>
        </w:trPr>
        <w:tc>
          <w:tcPr>
            <w:tcW w:w="7225" w:type="dxa"/>
          </w:tcPr>
          <w:p w14:paraId="0F633A20" w14:textId="77777777" w:rsidR="00504147" w:rsidRPr="003D43F3" w:rsidRDefault="00504147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3D43F3">
              <w:rPr>
                <w:rFonts w:ascii="Arial" w:hAnsi="Arial" w:cs="Arial"/>
                <w:sz w:val="24"/>
                <w:szCs w:val="24"/>
              </w:rPr>
              <w:t xml:space="preserve">Concerns that a specific child or children may be at risk of harm </w:t>
            </w:r>
          </w:p>
        </w:tc>
        <w:tc>
          <w:tcPr>
            <w:tcW w:w="1842" w:type="dxa"/>
          </w:tcPr>
          <w:p w14:paraId="6CB98483" w14:textId="2C7971C5" w:rsidR="00504147" w:rsidRPr="00993FED" w:rsidRDefault="00993FED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993F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4147" w:rsidRPr="003D43F3" w14:paraId="3074B8B7" w14:textId="77777777" w:rsidTr="003D43F3">
        <w:trPr>
          <w:trHeight w:val="630"/>
        </w:trPr>
        <w:tc>
          <w:tcPr>
            <w:tcW w:w="7225" w:type="dxa"/>
          </w:tcPr>
          <w:p w14:paraId="19D82ECF" w14:textId="77777777" w:rsidR="00504147" w:rsidRPr="003D43F3" w:rsidRDefault="00504147" w:rsidP="005F5F32">
            <w:pPr>
              <w:rPr>
                <w:rFonts w:ascii="Arial" w:hAnsi="Arial" w:cs="Arial"/>
                <w:sz w:val="24"/>
                <w:szCs w:val="24"/>
              </w:rPr>
            </w:pPr>
            <w:r w:rsidRPr="003D43F3">
              <w:rPr>
                <w:rFonts w:ascii="Arial" w:hAnsi="Arial" w:cs="Arial"/>
                <w:sz w:val="24"/>
                <w:szCs w:val="24"/>
              </w:rPr>
              <w:t>Concerns that there are wider or systematic failur</w:t>
            </w:r>
            <w:r w:rsidR="00FA228F" w:rsidRPr="003D43F3">
              <w:rPr>
                <w:rFonts w:ascii="Arial" w:hAnsi="Arial" w:cs="Arial"/>
                <w:sz w:val="24"/>
                <w:szCs w:val="24"/>
              </w:rPr>
              <w:t>es in safeguarding practice</w:t>
            </w:r>
          </w:p>
        </w:tc>
        <w:tc>
          <w:tcPr>
            <w:tcW w:w="1842" w:type="dxa"/>
          </w:tcPr>
          <w:p w14:paraId="15887ECA" w14:textId="563FA1D4" w:rsidR="00504147" w:rsidRPr="00993FED" w:rsidRDefault="00046E5F" w:rsidP="005041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93FED" w:rsidRPr="003D43F3" w14:paraId="472F12D0" w14:textId="77777777" w:rsidTr="003D43F3">
        <w:trPr>
          <w:trHeight w:val="630"/>
        </w:trPr>
        <w:tc>
          <w:tcPr>
            <w:tcW w:w="7225" w:type="dxa"/>
          </w:tcPr>
          <w:p w14:paraId="6CF8B78F" w14:textId="6F805CFA" w:rsidR="00993FED" w:rsidRPr="003D43F3" w:rsidRDefault="00993FED" w:rsidP="005F5F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Unable to classify – insufficient information </w:t>
            </w:r>
          </w:p>
        </w:tc>
        <w:tc>
          <w:tcPr>
            <w:tcW w:w="1842" w:type="dxa"/>
          </w:tcPr>
          <w:p w14:paraId="1CA6D466" w14:textId="2A7BCBCC" w:rsidR="00993FED" w:rsidRPr="00993FED" w:rsidRDefault="00993FED" w:rsidP="00504147">
            <w:pPr>
              <w:rPr>
                <w:rFonts w:ascii="Arial" w:hAnsi="Arial" w:cs="Arial"/>
                <w:sz w:val="24"/>
                <w:szCs w:val="24"/>
              </w:rPr>
            </w:pPr>
            <w:r w:rsidRPr="00993F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8DF1A34" w14:textId="77777777" w:rsidR="00504147" w:rsidRPr="003D43F3" w:rsidRDefault="00504147" w:rsidP="00504147">
      <w:pPr>
        <w:rPr>
          <w:rFonts w:ascii="Arial" w:hAnsi="Arial" w:cs="Arial"/>
          <w:sz w:val="24"/>
          <w:szCs w:val="24"/>
        </w:rPr>
      </w:pPr>
    </w:p>
    <w:p w14:paraId="71FCE892" w14:textId="77777777" w:rsidR="00504147" w:rsidRPr="00504147" w:rsidRDefault="00504147" w:rsidP="001C1B6A">
      <w:pPr>
        <w:rPr>
          <w:rFonts w:ascii="Arial" w:hAnsi="Arial" w:cs="Arial"/>
        </w:rPr>
      </w:pPr>
    </w:p>
    <w:sectPr w:rsidR="00504147" w:rsidRPr="0050414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B5E9" w14:textId="77777777" w:rsidR="00854EB8" w:rsidRDefault="00854EB8" w:rsidP="00C355A1">
      <w:pPr>
        <w:spacing w:after="0" w:line="240" w:lineRule="auto"/>
      </w:pPr>
      <w:r>
        <w:separator/>
      </w:r>
    </w:p>
  </w:endnote>
  <w:endnote w:type="continuationSeparator" w:id="0">
    <w:p w14:paraId="17E3CD56" w14:textId="77777777" w:rsidR="00854EB8" w:rsidRDefault="00854EB8" w:rsidP="00C355A1">
      <w:pPr>
        <w:spacing w:after="0" w:line="240" w:lineRule="auto"/>
      </w:pPr>
      <w:r>
        <w:continuationSeparator/>
      </w:r>
    </w:p>
  </w:endnote>
  <w:endnote w:id="1">
    <w:p w14:paraId="396DD5EB" w14:textId="747E54F6" w:rsidR="00DD3321" w:rsidRDefault="00DD3321">
      <w:pPr>
        <w:pStyle w:val="EndnoteText"/>
      </w:pPr>
      <w:r>
        <w:rPr>
          <w:rStyle w:val="EndnoteReference"/>
        </w:rPr>
        <w:endnoteRef/>
      </w:r>
      <w:r>
        <w:t xml:space="preserve"> Some disclosure</w:t>
      </w:r>
      <w:r w:rsidR="009557DB">
        <w:t>s</w:t>
      </w:r>
      <w:r>
        <w:t xml:space="preserve"> raised both concerns a specific child or children may be at risk of harm and concerns that there are wider or systematic failures in safeguarding practice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152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C1B5F" w14:textId="77777777" w:rsidR="004C3666" w:rsidRDefault="004C3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D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D2E1D4" w14:textId="77777777" w:rsidR="003D43F3" w:rsidRDefault="003D43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2546" w14:textId="77777777" w:rsidR="00854EB8" w:rsidRDefault="00854EB8" w:rsidP="00C355A1">
      <w:pPr>
        <w:spacing w:after="0" w:line="240" w:lineRule="auto"/>
      </w:pPr>
      <w:r>
        <w:separator/>
      </w:r>
    </w:p>
  </w:footnote>
  <w:footnote w:type="continuationSeparator" w:id="0">
    <w:p w14:paraId="5A668817" w14:textId="77777777" w:rsidR="00854EB8" w:rsidRDefault="00854EB8" w:rsidP="00C3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BE9" w14:textId="77777777" w:rsidR="00C355A1" w:rsidRDefault="00C355A1">
    <w:pPr>
      <w:pStyle w:val="Header"/>
    </w:pPr>
    <w:r>
      <w:rPr>
        <w:noProof/>
        <w:lang w:eastAsia="en-GB"/>
      </w:rPr>
      <w:drawing>
        <wp:inline distT="0" distB="0" distL="0" distR="0" wp14:anchorId="28A54CFB" wp14:editId="6886F8A5">
          <wp:extent cx="5731510" cy="840101"/>
          <wp:effectExtent l="0" t="0" r="2540" b="0"/>
          <wp:docPr id="2" name="Picture 1" descr="CC_Letterhead[heade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Letterhead[header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4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5711022A"/>
    <w:multiLevelType w:val="hybridMultilevel"/>
    <w:tmpl w:val="82FA1912"/>
    <w:lvl w:ilvl="0" w:tplc="7F7E702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12FDD"/>
    <w:multiLevelType w:val="multilevel"/>
    <w:tmpl w:val="17C4F8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8D"/>
    <w:rsid w:val="00046E5F"/>
    <w:rsid w:val="00116ABC"/>
    <w:rsid w:val="00157DD7"/>
    <w:rsid w:val="001C1B6A"/>
    <w:rsid w:val="001D130C"/>
    <w:rsid w:val="0021411E"/>
    <w:rsid w:val="002903C0"/>
    <w:rsid w:val="0037227C"/>
    <w:rsid w:val="003D43F3"/>
    <w:rsid w:val="00454809"/>
    <w:rsid w:val="004C3666"/>
    <w:rsid w:val="00504147"/>
    <w:rsid w:val="0059378C"/>
    <w:rsid w:val="005944A5"/>
    <w:rsid w:val="005C14DD"/>
    <w:rsid w:val="005F4B8D"/>
    <w:rsid w:val="005F5F32"/>
    <w:rsid w:val="006602BD"/>
    <w:rsid w:val="00705186"/>
    <w:rsid w:val="00731DF6"/>
    <w:rsid w:val="00795C80"/>
    <w:rsid w:val="00810A51"/>
    <w:rsid w:val="00854EB8"/>
    <w:rsid w:val="008D715A"/>
    <w:rsid w:val="009557DB"/>
    <w:rsid w:val="00962AB4"/>
    <w:rsid w:val="00993FED"/>
    <w:rsid w:val="009D12D3"/>
    <w:rsid w:val="00B463E1"/>
    <w:rsid w:val="00B90446"/>
    <w:rsid w:val="00B94800"/>
    <w:rsid w:val="00B96443"/>
    <w:rsid w:val="00C2083E"/>
    <w:rsid w:val="00C355A1"/>
    <w:rsid w:val="00C648BA"/>
    <w:rsid w:val="00D16DEA"/>
    <w:rsid w:val="00DD3321"/>
    <w:rsid w:val="00DF5945"/>
    <w:rsid w:val="00F43B35"/>
    <w:rsid w:val="00F83772"/>
    <w:rsid w:val="00F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F965112"/>
  <w15:chartTrackingRefBased/>
  <w15:docId w15:val="{2F9A462A-6544-4290-AB0D-CB36E4AE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B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5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A1"/>
  </w:style>
  <w:style w:type="paragraph" w:styleId="Footer">
    <w:name w:val="footer"/>
    <w:basedOn w:val="Normal"/>
    <w:link w:val="FooterChar"/>
    <w:uiPriority w:val="99"/>
    <w:unhideWhenUsed/>
    <w:rsid w:val="00C35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A1"/>
  </w:style>
  <w:style w:type="table" w:customStyle="1" w:styleId="TableGrid1">
    <w:name w:val="Table Grid1"/>
    <w:basedOn w:val="TableNormal"/>
    <w:next w:val="TableGrid"/>
    <w:uiPriority w:val="39"/>
    <w:rsid w:val="0050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37227C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37227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37227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37227C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F5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F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3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83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37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D332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332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32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3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renscommissioner.gov.uk/wp-content/uploads/2020/01/cco-whistleblowing-policy-guidanc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8" ma:contentTypeDescription="Create a new document." ma:contentTypeScope="" ma:versionID="8b3e3a1b697a528c2caabf01e90bd59c">
  <xsd:schema xmlns:xsd="http://www.w3.org/2001/XMLSchema" xmlns:xs="http://www.w3.org/2001/XMLSchema" xmlns:p="http://schemas.microsoft.com/office/2006/metadata/properties" xmlns:ns3="555c19f3-c827-4013-84b1-e728aca3249c" targetNamespace="http://schemas.microsoft.com/office/2006/metadata/properties" ma:root="true" ma:fieldsID="7256bc68afbc0ad9272adeffaa2b8247" ns3:_=""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D43C6-B5B0-42C5-8087-2881AABA5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CD307-88CA-44AC-93FD-2505EC561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806A6-AAEA-447E-BD8C-5704BDF9A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8FEDED-2A09-4CE1-8918-9CCD09B8AEF1}">
  <ds:schemaRefs>
    <ds:schemaRef ds:uri="http://purl.org/dc/elements/1.1/"/>
    <ds:schemaRef ds:uri="http://schemas.microsoft.com/office/2006/metadata/properties"/>
    <ds:schemaRef ds:uri="555c19f3-c827-4013-84b1-e728aca3249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FOSTER</dc:creator>
  <cp:keywords/>
  <dc:description/>
  <cp:lastModifiedBy>DAVIES, Scout - Children's Commissioner</cp:lastModifiedBy>
  <cp:revision>2</cp:revision>
  <dcterms:created xsi:type="dcterms:W3CDTF">2021-10-01T07:57:00Z</dcterms:created>
  <dcterms:modified xsi:type="dcterms:W3CDTF">2021-10-01T07:57:00Z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